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A1" w:rsidRDefault="005C27A1" w:rsidP="005C27A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5C27A1">
            <w:rPr>
              <w:rFonts w:ascii="Arial" w:hAnsi="Arial" w:cs="Arial"/>
              <w:bCs/>
              <w:sz w:val="22"/>
              <w:szCs w:val="22"/>
            </w:rPr>
            <w:t>Queensland</w:t>
          </w:r>
        </w:smartTag>
      </w:smartTag>
      <w:r w:rsidRPr="005C27A1">
        <w:rPr>
          <w:rFonts w:ascii="Arial" w:hAnsi="Arial" w:cs="Arial"/>
          <w:bCs/>
          <w:sz w:val="22"/>
          <w:szCs w:val="22"/>
        </w:rPr>
        <w:t xml:space="preserve"> is regarded as the state most at risk from the impacts of unmitigated climate change.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5C27A1" w:rsidRPr="005C27A1" w:rsidRDefault="005C27A1" w:rsidP="005C27A1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C27A1">
        <w:rPr>
          <w:rFonts w:ascii="Arial" w:hAnsi="Arial" w:cs="Arial"/>
          <w:bCs/>
          <w:sz w:val="22"/>
          <w:szCs w:val="22"/>
        </w:rPr>
        <w:t xml:space="preserve">Where ‘mitigation’ policy focuses </w:t>
      </w:r>
      <w:r w:rsidR="00097AD6">
        <w:rPr>
          <w:rFonts w:ascii="Arial" w:hAnsi="Arial" w:cs="Arial"/>
          <w:bCs/>
          <w:sz w:val="22"/>
          <w:szCs w:val="22"/>
        </w:rPr>
        <w:t xml:space="preserve">on </w:t>
      </w:r>
      <w:r w:rsidRPr="005C27A1">
        <w:rPr>
          <w:rFonts w:ascii="Arial" w:hAnsi="Arial" w:cs="Arial"/>
          <w:bCs/>
          <w:sz w:val="22"/>
          <w:szCs w:val="22"/>
        </w:rPr>
        <w:t>minimising the risk of dangerous climate change by reducing greenhouse gas emissions, ‘adaptation’ policy involves preparing human and natural systems for the impacts of climate change which cannot be avoided.</w:t>
      </w:r>
    </w:p>
    <w:p w:rsidR="00BF463D" w:rsidRDefault="00BF463D" w:rsidP="005B63D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BF463D">
        <w:rPr>
          <w:rFonts w:ascii="Arial" w:hAnsi="Arial" w:cs="Arial"/>
          <w:bCs/>
          <w:sz w:val="22"/>
          <w:szCs w:val="22"/>
        </w:rPr>
        <w:t xml:space="preserve">In 2007, the Government released the </w:t>
      </w:r>
      <w:r w:rsidRPr="00BF463D">
        <w:rPr>
          <w:rFonts w:ascii="Arial" w:hAnsi="Arial" w:cs="Arial"/>
          <w:bCs/>
          <w:i/>
          <w:sz w:val="22"/>
          <w:szCs w:val="22"/>
        </w:rPr>
        <w:t>ClimateSmart Adaptation 2007-12</w:t>
      </w:r>
      <w:r w:rsidRPr="00BF463D">
        <w:rPr>
          <w:rFonts w:ascii="Arial" w:hAnsi="Arial" w:cs="Arial"/>
          <w:bCs/>
          <w:sz w:val="22"/>
          <w:szCs w:val="22"/>
        </w:rPr>
        <w:t xml:space="preserve"> strategy which outlined a climate science and adaptation policy work program covering 62 actions.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D0329" w:rsidRDefault="00097AD6" w:rsidP="005B63D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994B70">
        <w:rPr>
          <w:rFonts w:ascii="Arial" w:hAnsi="Arial" w:cs="Arial"/>
          <w:bCs/>
          <w:sz w:val="22"/>
          <w:szCs w:val="22"/>
        </w:rPr>
        <w:t xml:space="preserve">s </w:t>
      </w:r>
      <w:r w:rsidR="00994B70">
        <w:rPr>
          <w:rFonts w:ascii="Arial" w:hAnsi="Arial" w:cs="Arial"/>
          <w:bCs/>
          <w:i/>
          <w:sz w:val="22"/>
          <w:szCs w:val="22"/>
        </w:rPr>
        <w:t xml:space="preserve">ClimateSmart Adaptation </w:t>
      </w:r>
      <w:r>
        <w:rPr>
          <w:rFonts w:ascii="Arial" w:hAnsi="Arial" w:cs="Arial"/>
          <w:bCs/>
          <w:sz w:val="22"/>
          <w:szCs w:val="22"/>
        </w:rPr>
        <w:t xml:space="preserve">nears </w:t>
      </w:r>
      <w:r w:rsidR="004B4F31">
        <w:rPr>
          <w:rFonts w:ascii="Arial" w:hAnsi="Arial" w:cs="Arial"/>
          <w:bCs/>
          <w:sz w:val="22"/>
          <w:szCs w:val="22"/>
        </w:rPr>
        <w:t>full implementation</w:t>
      </w:r>
      <w:r w:rsidR="00994B70">
        <w:rPr>
          <w:rFonts w:ascii="Arial" w:hAnsi="Arial" w:cs="Arial"/>
          <w:bCs/>
          <w:sz w:val="22"/>
          <w:szCs w:val="22"/>
        </w:rPr>
        <w:t xml:space="preserve">, the Queensland Government </w:t>
      </w:r>
      <w:r w:rsidR="00073855">
        <w:rPr>
          <w:rFonts w:ascii="Arial" w:hAnsi="Arial" w:cs="Arial"/>
          <w:bCs/>
          <w:sz w:val="22"/>
          <w:szCs w:val="22"/>
        </w:rPr>
        <w:t xml:space="preserve">is </w:t>
      </w:r>
      <w:r w:rsidR="00316170">
        <w:rPr>
          <w:rFonts w:ascii="Arial" w:hAnsi="Arial" w:cs="Arial"/>
          <w:bCs/>
          <w:sz w:val="22"/>
          <w:szCs w:val="22"/>
        </w:rPr>
        <w:t>updating</w:t>
      </w:r>
      <w:r w:rsidR="00994B70">
        <w:rPr>
          <w:rFonts w:ascii="Arial" w:hAnsi="Arial" w:cs="Arial"/>
          <w:bCs/>
          <w:sz w:val="22"/>
          <w:szCs w:val="22"/>
        </w:rPr>
        <w:t xml:space="preserve"> the current strategy to </w:t>
      </w:r>
      <w:r w:rsidR="00CF477E">
        <w:rPr>
          <w:rFonts w:ascii="Arial" w:hAnsi="Arial" w:cs="Arial"/>
          <w:bCs/>
          <w:sz w:val="22"/>
          <w:szCs w:val="22"/>
        </w:rPr>
        <w:t xml:space="preserve">also </w:t>
      </w:r>
      <w:r w:rsidR="00994B70">
        <w:rPr>
          <w:rFonts w:ascii="Arial" w:hAnsi="Arial" w:cs="Arial"/>
          <w:bCs/>
          <w:sz w:val="22"/>
          <w:szCs w:val="22"/>
        </w:rPr>
        <w:t xml:space="preserve">reflect </w:t>
      </w:r>
      <w:r w:rsidR="00994B70" w:rsidRPr="00994B70">
        <w:rPr>
          <w:rFonts w:ascii="Arial" w:hAnsi="Arial" w:cs="Arial"/>
          <w:bCs/>
          <w:iCs/>
          <w:sz w:val="22"/>
          <w:szCs w:val="22"/>
        </w:rPr>
        <w:t xml:space="preserve">lessons </w:t>
      </w:r>
      <w:r w:rsidR="00316170">
        <w:rPr>
          <w:rFonts w:ascii="Arial" w:hAnsi="Arial" w:cs="Arial"/>
          <w:bCs/>
          <w:iCs/>
          <w:sz w:val="22"/>
          <w:szCs w:val="22"/>
        </w:rPr>
        <w:t xml:space="preserve">learned </w:t>
      </w:r>
      <w:r w:rsidR="00994B70" w:rsidRPr="00994B70">
        <w:rPr>
          <w:rFonts w:ascii="Arial" w:hAnsi="Arial" w:cs="Arial"/>
          <w:bCs/>
          <w:iCs/>
          <w:sz w:val="22"/>
          <w:szCs w:val="22"/>
        </w:rPr>
        <w:t>from recent disasters and address emerging adaptation priorities</w:t>
      </w:r>
      <w:r w:rsidR="00994B70">
        <w:rPr>
          <w:rFonts w:ascii="Arial" w:hAnsi="Arial" w:cs="Arial"/>
          <w:bCs/>
          <w:sz w:val="22"/>
          <w:szCs w:val="22"/>
        </w:rPr>
        <w:t xml:space="preserve">. </w:t>
      </w:r>
    </w:p>
    <w:p w:rsidR="00994B70" w:rsidRDefault="00427245" w:rsidP="005B63D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5C27A1" w:rsidRPr="005C27A1">
        <w:rPr>
          <w:rFonts w:ascii="Arial" w:hAnsi="Arial" w:cs="Arial"/>
          <w:bCs/>
          <w:sz w:val="22"/>
          <w:szCs w:val="22"/>
        </w:rPr>
        <w:t>he Premier</w:t>
      </w:r>
      <w:r w:rsidR="00E0496C">
        <w:rPr>
          <w:rFonts w:ascii="Arial" w:hAnsi="Arial" w:cs="Arial"/>
          <w:bCs/>
          <w:sz w:val="22"/>
          <w:szCs w:val="22"/>
        </w:rPr>
        <w:t xml:space="preserve"> and Minister for Reconstruction</w:t>
      </w:r>
      <w:r w:rsidR="009F71C0">
        <w:rPr>
          <w:rFonts w:ascii="Arial" w:hAnsi="Arial" w:cs="Arial"/>
          <w:bCs/>
          <w:sz w:val="22"/>
          <w:szCs w:val="22"/>
        </w:rPr>
        <w:t xml:space="preserve"> </w:t>
      </w:r>
      <w:r w:rsidR="005C27A1" w:rsidRPr="005C27A1">
        <w:rPr>
          <w:rFonts w:ascii="Arial" w:hAnsi="Arial" w:cs="Arial"/>
          <w:bCs/>
          <w:sz w:val="22"/>
          <w:szCs w:val="22"/>
        </w:rPr>
        <w:t>announced</w:t>
      </w:r>
      <w:r w:rsidR="008621C9">
        <w:rPr>
          <w:rFonts w:ascii="Arial" w:hAnsi="Arial" w:cs="Arial"/>
          <w:bCs/>
          <w:sz w:val="22"/>
          <w:szCs w:val="22"/>
        </w:rPr>
        <w:t xml:space="preserve"> </w:t>
      </w:r>
      <w:r w:rsidR="005C27A1" w:rsidRPr="005C27A1">
        <w:rPr>
          <w:rFonts w:ascii="Arial" w:hAnsi="Arial" w:cs="Arial"/>
          <w:bCs/>
          <w:sz w:val="22"/>
          <w:szCs w:val="22"/>
        </w:rPr>
        <w:t xml:space="preserve">in April </w:t>
      </w:r>
      <w:r>
        <w:rPr>
          <w:rFonts w:ascii="Arial" w:hAnsi="Arial" w:cs="Arial"/>
          <w:bCs/>
          <w:sz w:val="22"/>
          <w:szCs w:val="22"/>
        </w:rPr>
        <w:t>2011</w:t>
      </w:r>
      <w:r w:rsidR="005C27A1">
        <w:rPr>
          <w:rFonts w:ascii="Arial" w:hAnsi="Arial" w:cs="Arial"/>
          <w:bCs/>
          <w:sz w:val="22"/>
          <w:szCs w:val="22"/>
        </w:rPr>
        <w:t xml:space="preserve"> </w:t>
      </w:r>
      <w:r w:rsidR="005C27A1" w:rsidRPr="005C27A1">
        <w:rPr>
          <w:rFonts w:ascii="Arial" w:hAnsi="Arial" w:cs="Arial"/>
          <w:bCs/>
          <w:sz w:val="22"/>
          <w:szCs w:val="22"/>
        </w:rPr>
        <w:t>that an</w:t>
      </w:r>
      <w:r w:rsidR="008621C9">
        <w:rPr>
          <w:rFonts w:ascii="Arial" w:hAnsi="Arial" w:cs="Arial"/>
          <w:bCs/>
          <w:sz w:val="22"/>
          <w:szCs w:val="22"/>
        </w:rPr>
        <w:t xml:space="preserve"> adaptation</w:t>
      </w:r>
      <w:r w:rsidR="005C27A1" w:rsidRPr="005C27A1">
        <w:rPr>
          <w:rFonts w:ascii="Arial" w:hAnsi="Arial" w:cs="Arial"/>
          <w:bCs/>
          <w:sz w:val="22"/>
          <w:szCs w:val="22"/>
        </w:rPr>
        <w:t xml:space="preserve"> </w:t>
      </w:r>
      <w:r w:rsidR="005C27A1">
        <w:rPr>
          <w:rFonts w:ascii="Arial" w:hAnsi="Arial" w:cs="Arial"/>
          <w:bCs/>
          <w:sz w:val="22"/>
          <w:szCs w:val="22"/>
        </w:rPr>
        <w:t>I</w:t>
      </w:r>
      <w:r w:rsidR="005C27A1" w:rsidRPr="005C27A1">
        <w:rPr>
          <w:rFonts w:ascii="Arial" w:hAnsi="Arial" w:cs="Arial"/>
          <w:bCs/>
          <w:sz w:val="22"/>
          <w:szCs w:val="22"/>
        </w:rPr>
        <w:t xml:space="preserve">ssues </w:t>
      </w:r>
      <w:r w:rsidR="005C27A1">
        <w:rPr>
          <w:rFonts w:ascii="Arial" w:hAnsi="Arial" w:cs="Arial"/>
          <w:bCs/>
          <w:sz w:val="22"/>
          <w:szCs w:val="22"/>
        </w:rPr>
        <w:t>P</w:t>
      </w:r>
      <w:r w:rsidR="005C27A1" w:rsidRPr="005C27A1">
        <w:rPr>
          <w:rFonts w:ascii="Arial" w:hAnsi="Arial" w:cs="Arial"/>
          <w:bCs/>
          <w:sz w:val="22"/>
          <w:szCs w:val="22"/>
        </w:rPr>
        <w:t xml:space="preserve">aper </w:t>
      </w:r>
      <w:r w:rsidR="00097AD6">
        <w:rPr>
          <w:rFonts w:ascii="Arial" w:hAnsi="Arial" w:cs="Arial"/>
          <w:bCs/>
          <w:sz w:val="22"/>
          <w:szCs w:val="22"/>
        </w:rPr>
        <w:t xml:space="preserve">would be released </w:t>
      </w:r>
      <w:r w:rsidR="00994B70" w:rsidRPr="00994B70">
        <w:rPr>
          <w:rFonts w:ascii="Arial" w:hAnsi="Arial" w:cs="Arial"/>
          <w:bCs/>
          <w:sz w:val="22"/>
          <w:szCs w:val="22"/>
        </w:rPr>
        <w:t xml:space="preserve">for </w:t>
      </w:r>
      <w:r w:rsidR="00AD0329">
        <w:rPr>
          <w:rFonts w:ascii="Arial" w:hAnsi="Arial" w:cs="Arial"/>
          <w:bCs/>
          <w:sz w:val="22"/>
          <w:szCs w:val="22"/>
        </w:rPr>
        <w:t xml:space="preserve">broad </w:t>
      </w:r>
      <w:r w:rsidR="00994B70" w:rsidRPr="00994B70">
        <w:rPr>
          <w:rFonts w:ascii="Arial" w:hAnsi="Arial" w:cs="Arial"/>
          <w:bCs/>
          <w:sz w:val="22"/>
          <w:szCs w:val="22"/>
        </w:rPr>
        <w:t>public consultation</w:t>
      </w:r>
      <w:r w:rsidR="008621C9">
        <w:rPr>
          <w:rFonts w:ascii="Arial" w:hAnsi="Arial" w:cs="Arial"/>
          <w:bCs/>
          <w:sz w:val="22"/>
          <w:szCs w:val="22"/>
        </w:rPr>
        <w:t xml:space="preserve"> later in </w:t>
      </w:r>
      <w:r w:rsidR="000A4E96">
        <w:rPr>
          <w:rFonts w:ascii="Arial" w:hAnsi="Arial" w:cs="Arial"/>
          <w:bCs/>
          <w:sz w:val="22"/>
          <w:szCs w:val="22"/>
        </w:rPr>
        <w:t>the year</w:t>
      </w:r>
      <w:r w:rsidR="00994B70" w:rsidRPr="00994B70">
        <w:rPr>
          <w:rFonts w:ascii="Arial" w:hAnsi="Arial" w:cs="Arial"/>
          <w:bCs/>
          <w:sz w:val="22"/>
          <w:szCs w:val="22"/>
        </w:rPr>
        <w:t xml:space="preserve">. </w:t>
      </w:r>
    </w:p>
    <w:p w:rsidR="00097AD6" w:rsidRPr="00994B70" w:rsidRDefault="00097AD6" w:rsidP="005B63D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097AD6">
        <w:rPr>
          <w:rFonts w:ascii="Arial" w:hAnsi="Arial" w:cs="Arial"/>
          <w:bCs/>
          <w:sz w:val="22"/>
          <w:szCs w:val="22"/>
        </w:rPr>
        <w:t xml:space="preserve">he Issues Paper 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Pr="00097AD6">
        <w:rPr>
          <w:rFonts w:ascii="Arial" w:hAnsi="Arial" w:cs="Arial"/>
          <w:bCs/>
          <w:sz w:val="22"/>
          <w:szCs w:val="22"/>
        </w:rPr>
        <w:t>explain</w:t>
      </w:r>
      <w:r>
        <w:rPr>
          <w:rFonts w:ascii="Arial" w:hAnsi="Arial" w:cs="Arial"/>
          <w:bCs/>
          <w:sz w:val="22"/>
          <w:szCs w:val="22"/>
        </w:rPr>
        <w:t xml:space="preserve"> what </w:t>
      </w:r>
      <w:r w:rsidRPr="00097AD6">
        <w:rPr>
          <w:rFonts w:ascii="Arial" w:hAnsi="Arial" w:cs="Arial"/>
          <w:bCs/>
          <w:sz w:val="22"/>
          <w:szCs w:val="22"/>
        </w:rPr>
        <w:t xml:space="preserve">adaptation action the government has already taken, and outlines the rationale for further work across seven priority sectors: </w:t>
      </w:r>
      <w:r w:rsidRPr="00097AD6">
        <w:rPr>
          <w:rFonts w:ascii="Arial" w:hAnsi="Arial" w:cs="Arial"/>
          <w:bCs/>
          <w:i/>
          <w:sz w:val="22"/>
          <w:szCs w:val="22"/>
        </w:rPr>
        <w:t>Human Settlements</w:t>
      </w:r>
      <w:r w:rsidRPr="00097AD6">
        <w:rPr>
          <w:rFonts w:ascii="Arial" w:hAnsi="Arial" w:cs="Arial"/>
          <w:bCs/>
          <w:sz w:val="22"/>
          <w:szCs w:val="22"/>
        </w:rPr>
        <w:t xml:space="preserve"> (covering land use planning)</w:t>
      </w:r>
      <w:r w:rsidRPr="00097AD6">
        <w:rPr>
          <w:rFonts w:ascii="Arial" w:hAnsi="Arial" w:cs="Arial"/>
          <w:bCs/>
          <w:i/>
          <w:sz w:val="22"/>
          <w:szCs w:val="22"/>
        </w:rPr>
        <w:t>, Infrastructure, Ecosystems, Water Management, Primary Industries, Emergency Management, and Health</w:t>
      </w:r>
      <w:r w:rsidRPr="00097AD6">
        <w:rPr>
          <w:rFonts w:ascii="Arial" w:hAnsi="Arial" w:cs="Arial"/>
          <w:bCs/>
          <w:sz w:val="22"/>
          <w:szCs w:val="22"/>
        </w:rPr>
        <w:t>.</w:t>
      </w:r>
    </w:p>
    <w:p w:rsidR="00AC59D2" w:rsidRPr="00AD7FD8" w:rsidRDefault="00CF477E" w:rsidP="005B63DA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AC59D2" w:rsidRPr="00AD7FD8">
        <w:rPr>
          <w:rFonts w:ascii="Arial" w:hAnsi="Arial" w:cs="Arial"/>
          <w:bCs/>
          <w:sz w:val="22"/>
          <w:szCs w:val="22"/>
        </w:rPr>
        <w:t>ommunity and stakeholder feedback on the Issues Paper will be used to inform a detailed assessment of existing and potential measures for inclusion in the revised</w:t>
      </w:r>
      <w:r w:rsidR="0069006D">
        <w:rPr>
          <w:rFonts w:ascii="Arial" w:hAnsi="Arial" w:cs="Arial"/>
          <w:bCs/>
          <w:sz w:val="22"/>
          <w:szCs w:val="22"/>
        </w:rPr>
        <w:t xml:space="preserve"> strategy</w:t>
      </w:r>
      <w:r w:rsidR="00AC59D2" w:rsidRPr="00AD7FD8">
        <w:rPr>
          <w:rFonts w:ascii="Arial" w:hAnsi="Arial" w:cs="Arial"/>
          <w:bCs/>
          <w:sz w:val="22"/>
          <w:szCs w:val="22"/>
        </w:rPr>
        <w:t>.</w:t>
      </w:r>
    </w:p>
    <w:p w:rsidR="009E762C" w:rsidRDefault="009E762C" w:rsidP="00316170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Pr="009E762C">
        <w:rPr>
          <w:rFonts w:ascii="Arial" w:hAnsi="Arial" w:cs="Arial"/>
          <w:sz w:val="22"/>
          <w:szCs w:val="22"/>
        </w:rPr>
        <w:t xml:space="preserve">June 2011 the </w:t>
      </w:r>
      <w:r w:rsidR="00E0496C">
        <w:rPr>
          <w:rFonts w:ascii="Arial" w:hAnsi="Arial" w:cs="Arial"/>
          <w:sz w:val="22"/>
          <w:szCs w:val="22"/>
        </w:rPr>
        <w:t xml:space="preserve">Commonwealth </w:t>
      </w:r>
      <w:r w:rsidRPr="009E762C">
        <w:rPr>
          <w:rFonts w:ascii="Arial" w:hAnsi="Arial" w:cs="Arial"/>
          <w:sz w:val="22"/>
          <w:szCs w:val="22"/>
        </w:rPr>
        <w:t>Minister for Sustainability, Environment, Wa</w:t>
      </w:r>
      <w:r w:rsidR="00E0496C">
        <w:rPr>
          <w:rFonts w:ascii="Arial" w:hAnsi="Arial" w:cs="Arial"/>
          <w:sz w:val="22"/>
          <w:szCs w:val="22"/>
        </w:rPr>
        <w:t>ter, Population and Communities and</w:t>
      </w:r>
      <w:r w:rsidRPr="009E762C">
        <w:rPr>
          <w:rFonts w:ascii="Arial" w:hAnsi="Arial" w:cs="Arial"/>
          <w:sz w:val="22"/>
          <w:szCs w:val="22"/>
        </w:rPr>
        <w:t xml:space="preserve"> </w:t>
      </w:r>
      <w:r w:rsidR="00E0496C">
        <w:rPr>
          <w:rFonts w:ascii="Arial" w:hAnsi="Arial" w:cs="Arial"/>
          <w:sz w:val="22"/>
          <w:szCs w:val="22"/>
        </w:rPr>
        <w:t xml:space="preserve">Commonwealth </w:t>
      </w:r>
      <w:r w:rsidRPr="009E762C">
        <w:rPr>
          <w:rFonts w:ascii="Arial" w:hAnsi="Arial" w:cs="Arial"/>
          <w:sz w:val="22"/>
          <w:szCs w:val="22"/>
        </w:rPr>
        <w:t>Minister for Climat</w:t>
      </w:r>
      <w:r w:rsidR="00E0496C">
        <w:rPr>
          <w:rFonts w:ascii="Arial" w:hAnsi="Arial" w:cs="Arial"/>
          <w:sz w:val="22"/>
          <w:szCs w:val="22"/>
        </w:rPr>
        <w:t>e Change and Energy Efficiency</w:t>
      </w:r>
      <w:r w:rsidRPr="009E762C">
        <w:rPr>
          <w:rFonts w:ascii="Arial" w:hAnsi="Arial" w:cs="Arial"/>
          <w:sz w:val="22"/>
          <w:szCs w:val="22"/>
        </w:rPr>
        <w:t xml:space="preserve"> asked the </w:t>
      </w:r>
      <w:r>
        <w:rPr>
          <w:rFonts w:ascii="Arial" w:hAnsi="Arial" w:cs="Arial"/>
          <w:sz w:val="22"/>
          <w:szCs w:val="22"/>
        </w:rPr>
        <w:t xml:space="preserve">House Standing </w:t>
      </w:r>
      <w:r w:rsidRPr="009E762C">
        <w:rPr>
          <w:rFonts w:ascii="Arial" w:hAnsi="Arial" w:cs="Arial"/>
          <w:sz w:val="22"/>
          <w:szCs w:val="22"/>
        </w:rPr>
        <w:t xml:space="preserve">Committee </w:t>
      </w:r>
      <w:r>
        <w:rPr>
          <w:rFonts w:ascii="Arial" w:hAnsi="Arial" w:cs="Arial"/>
          <w:sz w:val="22"/>
          <w:szCs w:val="22"/>
        </w:rPr>
        <w:t xml:space="preserve">on Climate Change, Environment and the Arts </w:t>
      </w:r>
      <w:r w:rsidRPr="009E762C">
        <w:rPr>
          <w:rFonts w:ascii="Arial" w:hAnsi="Arial" w:cs="Arial"/>
          <w:sz w:val="22"/>
          <w:szCs w:val="22"/>
        </w:rPr>
        <w:t>to inquire into and report on</w:t>
      </w:r>
      <w:r w:rsidRPr="009E762C">
        <w:rPr>
          <w:rStyle w:val="Emphasis"/>
          <w:rFonts w:ascii="Arial" w:hAnsi="Arial" w:cs="Arial"/>
          <w:sz w:val="22"/>
          <w:szCs w:val="22"/>
        </w:rPr>
        <w:t xml:space="preserve"> Australia's biodiversity in a changing climate</w:t>
      </w:r>
      <w:r w:rsidRPr="009E762C">
        <w:rPr>
          <w:rFonts w:ascii="Arial" w:hAnsi="Arial" w:cs="Arial"/>
          <w:sz w:val="22"/>
          <w:szCs w:val="22"/>
        </w:rPr>
        <w:t>.</w:t>
      </w:r>
    </w:p>
    <w:p w:rsidR="00316170" w:rsidRPr="008621C9" w:rsidRDefault="00AC59D2" w:rsidP="00316170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1617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316170" w:rsidRPr="00316170">
        <w:rPr>
          <w:rFonts w:ascii="Arial" w:hAnsi="Arial" w:cs="Arial"/>
          <w:sz w:val="22"/>
          <w:szCs w:val="22"/>
          <w:u w:val="single"/>
        </w:rPr>
        <w:t>approved</w:t>
      </w:r>
      <w:r w:rsidR="00316170" w:rsidRPr="000A4E96">
        <w:rPr>
          <w:rFonts w:ascii="Arial" w:hAnsi="Arial" w:cs="Arial"/>
          <w:sz w:val="22"/>
          <w:szCs w:val="22"/>
        </w:rPr>
        <w:t xml:space="preserve"> </w:t>
      </w:r>
      <w:r w:rsidR="00316170" w:rsidRPr="008621C9">
        <w:rPr>
          <w:rFonts w:ascii="Arial" w:hAnsi="Arial" w:cs="Arial"/>
          <w:sz w:val="22"/>
          <w:szCs w:val="22"/>
        </w:rPr>
        <w:t xml:space="preserve">the release of the </w:t>
      </w:r>
      <w:r w:rsidR="00316170" w:rsidRPr="008621C9">
        <w:rPr>
          <w:rFonts w:ascii="Arial" w:hAnsi="Arial" w:cs="Arial"/>
          <w:i/>
          <w:sz w:val="22"/>
          <w:szCs w:val="22"/>
        </w:rPr>
        <w:t xml:space="preserve">Climate Change: Adaptation for Queensland </w:t>
      </w:r>
      <w:r w:rsidR="00316170" w:rsidRPr="008621C9">
        <w:rPr>
          <w:rFonts w:ascii="Arial" w:hAnsi="Arial" w:cs="Arial"/>
          <w:sz w:val="22"/>
          <w:szCs w:val="22"/>
        </w:rPr>
        <w:t>Issues Paper for public consultation</w:t>
      </w:r>
      <w:r w:rsidR="008621C9" w:rsidRPr="008621C9">
        <w:rPr>
          <w:rFonts w:ascii="Arial" w:hAnsi="Arial" w:cs="Arial"/>
          <w:sz w:val="22"/>
          <w:szCs w:val="22"/>
        </w:rPr>
        <w:t>.</w:t>
      </w:r>
    </w:p>
    <w:p w:rsidR="00316170" w:rsidRPr="00316170" w:rsidRDefault="00316170" w:rsidP="00316170">
      <w:pPr>
        <w:numPr>
          <w:ilvl w:val="0"/>
          <w:numId w:val="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0A4E96">
        <w:rPr>
          <w:rFonts w:ascii="Arial" w:hAnsi="Arial" w:cs="Arial"/>
          <w:sz w:val="22"/>
          <w:szCs w:val="22"/>
        </w:rPr>
        <w:t xml:space="preserve"> </w:t>
      </w:r>
      <w:r w:rsidRPr="008621C9">
        <w:rPr>
          <w:rFonts w:ascii="Arial" w:hAnsi="Arial" w:cs="Arial"/>
          <w:sz w:val="22"/>
          <w:szCs w:val="22"/>
        </w:rPr>
        <w:t xml:space="preserve">the Queensland Government submission to the House of Representatives Inquiry into </w:t>
      </w:r>
      <w:r w:rsidR="000A4E96">
        <w:rPr>
          <w:rFonts w:ascii="Arial" w:hAnsi="Arial" w:cs="Arial"/>
          <w:sz w:val="22"/>
          <w:szCs w:val="22"/>
        </w:rPr>
        <w:t>Australia’s biodiversity in a changing climate</w:t>
      </w:r>
      <w:r w:rsidR="008621C9" w:rsidRPr="008621C9">
        <w:rPr>
          <w:rFonts w:ascii="Arial" w:hAnsi="Arial" w:cs="Arial"/>
          <w:sz w:val="22"/>
          <w:szCs w:val="22"/>
        </w:rPr>
        <w:t>.</w:t>
      </w:r>
      <w:r w:rsidRPr="0031617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9006D" w:rsidRPr="00BF463D" w:rsidRDefault="0069006D" w:rsidP="00E0496C">
      <w:pPr>
        <w:numPr>
          <w:ilvl w:val="0"/>
          <w:numId w:val="4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F463D">
        <w:rPr>
          <w:rFonts w:ascii="Arial" w:hAnsi="Arial" w:cs="Arial"/>
          <w:sz w:val="22"/>
          <w:szCs w:val="22"/>
          <w:u w:val="single"/>
        </w:rPr>
        <w:t>Attachments</w:t>
      </w:r>
    </w:p>
    <w:p w:rsidR="0069006D" w:rsidRPr="00773872" w:rsidRDefault="00162563" w:rsidP="005B63DA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69006D" w:rsidRPr="00B05D67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Climate Change</w:t>
        </w:r>
        <w:r w:rsidR="0069006D" w:rsidRPr="00B05D6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: Adaptation for Queensland Issues Paper</w:t>
        </w:r>
      </w:hyperlink>
    </w:p>
    <w:p w:rsidR="00646560" w:rsidRPr="00773872" w:rsidRDefault="00162563" w:rsidP="005B63DA">
      <w:pPr>
        <w:numPr>
          <w:ilvl w:val="0"/>
          <w:numId w:val="5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646560" w:rsidRPr="00B05D67">
          <w:rPr>
            <w:rStyle w:val="Hyperlink"/>
            <w:rFonts w:ascii="Arial" w:hAnsi="Arial" w:cs="Arial"/>
            <w:bCs/>
            <w:sz w:val="22"/>
            <w:szCs w:val="22"/>
          </w:rPr>
          <w:t xml:space="preserve">Queensland Government submission to the House of Representatives Inquiry into </w:t>
        </w:r>
        <w:r w:rsidR="000A4E96" w:rsidRPr="00B05D67">
          <w:rPr>
            <w:rStyle w:val="Hyperlink"/>
            <w:rFonts w:ascii="Arial" w:hAnsi="Arial" w:cs="Arial"/>
            <w:bCs/>
            <w:sz w:val="22"/>
            <w:szCs w:val="22"/>
          </w:rPr>
          <w:t>Australia’s biodiversity in a changing climate</w:t>
        </w:r>
      </w:hyperlink>
    </w:p>
    <w:sectPr w:rsidR="00646560" w:rsidRPr="00773872" w:rsidSect="00F22404">
      <w:headerReference w:type="first" r:id="rId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46" w:rsidRDefault="00D51B46">
      <w:r>
        <w:separator/>
      </w:r>
    </w:p>
  </w:endnote>
  <w:endnote w:type="continuationSeparator" w:id="0">
    <w:p w:rsidR="00D51B46" w:rsidRDefault="00D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46" w:rsidRDefault="00D51B46">
      <w:r>
        <w:separator/>
      </w:r>
    </w:p>
  </w:footnote>
  <w:footnote w:type="continuationSeparator" w:id="0">
    <w:p w:rsidR="00D51B46" w:rsidRDefault="00D51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67" w:rsidRPr="000400F9" w:rsidRDefault="00B952D6" w:rsidP="00BF4959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8" name="Picture 8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D67" w:rsidRPr="006E2E70">
      <w:rPr>
        <w:rFonts w:ascii="Arial" w:hAnsi="Arial" w:cs="Arial"/>
        <w:b/>
        <w:noProof/>
        <w:sz w:val="22"/>
        <w:szCs w:val="22"/>
        <w:u w:val="single"/>
      </w:rPr>
      <w:t>Cabinet</w:t>
    </w:r>
    <w:r w:rsidR="00B05D67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B05D67">
      <w:rPr>
        <w:rFonts w:ascii="Arial" w:hAnsi="Arial" w:cs="Arial"/>
        <w:b/>
        <w:sz w:val="22"/>
        <w:szCs w:val="22"/>
        <w:u w:val="single"/>
      </w:rPr>
      <w:t>August 2011</w:t>
    </w:r>
  </w:p>
  <w:p w:rsidR="00B05D67" w:rsidRDefault="00B05D67" w:rsidP="00BF495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8443B">
      <w:rPr>
        <w:rFonts w:ascii="Arial" w:hAnsi="Arial" w:cs="Arial"/>
        <w:b/>
        <w:sz w:val="22"/>
        <w:szCs w:val="22"/>
        <w:u w:val="single"/>
      </w:rPr>
      <w:t>Release of the Issues Paper ‘</w:t>
    </w:r>
    <w:r w:rsidRPr="00A8443B">
      <w:rPr>
        <w:rFonts w:ascii="Arial" w:hAnsi="Arial" w:cs="Arial"/>
        <w:b/>
        <w:i/>
        <w:sz w:val="22"/>
        <w:szCs w:val="22"/>
        <w:u w:val="single"/>
      </w:rPr>
      <w:t xml:space="preserve">Climate Change: Adaptation for </w:t>
    </w:r>
    <w:smartTag w:uri="urn:schemas-microsoft-com:office:smarttags" w:element="place">
      <w:smartTag w:uri="urn:schemas-microsoft-com:office:smarttags" w:element="State">
        <w:r w:rsidRPr="00A8443B">
          <w:rPr>
            <w:rFonts w:ascii="Arial" w:hAnsi="Arial" w:cs="Arial"/>
            <w:b/>
            <w:i/>
            <w:sz w:val="22"/>
            <w:szCs w:val="22"/>
            <w:u w:val="single"/>
          </w:rPr>
          <w:t>Queensland</w:t>
        </w:r>
      </w:smartTag>
    </w:smartTag>
    <w:r w:rsidRPr="00A8443B">
      <w:rPr>
        <w:rFonts w:ascii="Arial" w:hAnsi="Arial" w:cs="Arial"/>
        <w:b/>
        <w:i/>
        <w:sz w:val="22"/>
        <w:szCs w:val="22"/>
        <w:u w:val="single"/>
      </w:rPr>
      <w:t>’</w:t>
    </w:r>
    <w:r w:rsidRPr="00A8443B">
      <w:rPr>
        <w:rFonts w:ascii="Arial" w:hAnsi="Arial" w:cs="Arial"/>
        <w:b/>
        <w:sz w:val="22"/>
        <w:szCs w:val="22"/>
        <w:u w:val="single"/>
      </w:rPr>
      <w:t xml:space="preserve"> for public consultation</w:t>
    </w:r>
  </w:p>
  <w:p w:rsidR="00B05D67" w:rsidRDefault="00B05D67" w:rsidP="00BF495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8443B">
      <w:rPr>
        <w:rFonts w:ascii="Arial" w:hAnsi="Arial" w:cs="Arial"/>
        <w:b/>
        <w:sz w:val="22"/>
        <w:szCs w:val="22"/>
        <w:u w:val="single"/>
      </w:rPr>
      <w:t xml:space="preserve">Minister for Environment </w:t>
    </w:r>
  </w:p>
  <w:p w:rsidR="00B05D67" w:rsidRPr="00F10DF9" w:rsidRDefault="00B05D67" w:rsidP="00BF495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40E3"/>
    <w:multiLevelType w:val="hybridMultilevel"/>
    <w:tmpl w:val="00A89FB0"/>
    <w:lvl w:ilvl="0" w:tplc="14A0BE10">
      <w:start w:val="1"/>
      <w:numFmt w:val="bullet"/>
      <w:lvlText w:val="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8263C"/>
    <w:multiLevelType w:val="hybridMultilevel"/>
    <w:tmpl w:val="E938C76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9ACE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Helvetica" w:hAnsi="Calibri" w:cs="Helvetica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D6A82"/>
    <w:multiLevelType w:val="hybridMultilevel"/>
    <w:tmpl w:val="2BD2A6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AA7661"/>
    <w:multiLevelType w:val="hybridMultilevel"/>
    <w:tmpl w:val="7C6E0E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51"/>
    <w:rsid w:val="0000121E"/>
    <w:rsid w:val="00002C43"/>
    <w:rsid w:val="00020517"/>
    <w:rsid w:val="00021188"/>
    <w:rsid w:val="000216D0"/>
    <w:rsid w:val="00031D37"/>
    <w:rsid w:val="00034917"/>
    <w:rsid w:val="00034A44"/>
    <w:rsid w:val="000415C6"/>
    <w:rsid w:val="00041A0F"/>
    <w:rsid w:val="00041A2F"/>
    <w:rsid w:val="00044808"/>
    <w:rsid w:val="00051FDF"/>
    <w:rsid w:val="0005597E"/>
    <w:rsid w:val="00056034"/>
    <w:rsid w:val="0005723A"/>
    <w:rsid w:val="000615AE"/>
    <w:rsid w:val="00070A40"/>
    <w:rsid w:val="00071363"/>
    <w:rsid w:val="00073855"/>
    <w:rsid w:val="00082EA4"/>
    <w:rsid w:val="00086DBA"/>
    <w:rsid w:val="000928CA"/>
    <w:rsid w:val="00092BAD"/>
    <w:rsid w:val="0009634A"/>
    <w:rsid w:val="00097AD6"/>
    <w:rsid w:val="00097E7C"/>
    <w:rsid w:val="000A1D7D"/>
    <w:rsid w:val="000A2BAC"/>
    <w:rsid w:val="000A4E96"/>
    <w:rsid w:val="000A6E5D"/>
    <w:rsid w:val="000A72D8"/>
    <w:rsid w:val="000B3EAA"/>
    <w:rsid w:val="000B58D9"/>
    <w:rsid w:val="000B7BA8"/>
    <w:rsid w:val="000C0D99"/>
    <w:rsid w:val="000C15F5"/>
    <w:rsid w:val="000C2437"/>
    <w:rsid w:val="000C7095"/>
    <w:rsid w:val="000C7639"/>
    <w:rsid w:val="000D05D6"/>
    <w:rsid w:val="000D1B9F"/>
    <w:rsid w:val="000D4662"/>
    <w:rsid w:val="000D683A"/>
    <w:rsid w:val="000D705B"/>
    <w:rsid w:val="000E265C"/>
    <w:rsid w:val="000E3438"/>
    <w:rsid w:val="000E3F6A"/>
    <w:rsid w:val="000E57B6"/>
    <w:rsid w:val="000F270D"/>
    <w:rsid w:val="0010224A"/>
    <w:rsid w:val="00102C38"/>
    <w:rsid w:val="00111C56"/>
    <w:rsid w:val="001227DD"/>
    <w:rsid w:val="001227E5"/>
    <w:rsid w:val="00124FE2"/>
    <w:rsid w:val="001255D4"/>
    <w:rsid w:val="00126CC9"/>
    <w:rsid w:val="00135423"/>
    <w:rsid w:val="0013680D"/>
    <w:rsid w:val="001368EC"/>
    <w:rsid w:val="00137131"/>
    <w:rsid w:val="001375D6"/>
    <w:rsid w:val="001421EF"/>
    <w:rsid w:val="00145122"/>
    <w:rsid w:val="0014649D"/>
    <w:rsid w:val="0015411D"/>
    <w:rsid w:val="0015685D"/>
    <w:rsid w:val="00156A2F"/>
    <w:rsid w:val="00156C19"/>
    <w:rsid w:val="00162563"/>
    <w:rsid w:val="00165790"/>
    <w:rsid w:val="001679E7"/>
    <w:rsid w:val="001721BE"/>
    <w:rsid w:val="0017782F"/>
    <w:rsid w:val="00182E54"/>
    <w:rsid w:val="001A6B38"/>
    <w:rsid w:val="001A6DA2"/>
    <w:rsid w:val="001A7797"/>
    <w:rsid w:val="001A7D9D"/>
    <w:rsid w:val="001B5837"/>
    <w:rsid w:val="001B5CA3"/>
    <w:rsid w:val="001B7E69"/>
    <w:rsid w:val="001C1DF9"/>
    <w:rsid w:val="001C2253"/>
    <w:rsid w:val="001C314C"/>
    <w:rsid w:val="001C350C"/>
    <w:rsid w:val="001D0781"/>
    <w:rsid w:val="001D154C"/>
    <w:rsid w:val="001D5A2D"/>
    <w:rsid w:val="001E1DC1"/>
    <w:rsid w:val="001E2947"/>
    <w:rsid w:val="001E5583"/>
    <w:rsid w:val="001E6C9A"/>
    <w:rsid w:val="001F3ED4"/>
    <w:rsid w:val="001F48F9"/>
    <w:rsid w:val="0020087C"/>
    <w:rsid w:val="00201DA5"/>
    <w:rsid w:val="002028A0"/>
    <w:rsid w:val="00204A3B"/>
    <w:rsid w:val="00204F4F"/>
    <w:rsid w:val="00213D20"/>
    <w:rsid w:val="00214128"/>
    <w:rsid w:val="00216296"/>
    <w:rsid w:val="00216FD6"/>
    <w:rsid w:val="00223E93"/>
    <w:rsid w:val="00227E2C"/>
    <w:rsid w:val="002320B8"/>
    <w:rsid w:val="00233D74"/>
    <w:rsid w:val="00233E4A"/>
    <w:rsid w:val="0023599B"/>
    <w:rsid w:val="00240160"/>
    <w:rsid w:val="00241960"/>
    <w:rsid w:val="00242B09"/>
    <w:rsid w:val="00272371"/>
    <w:rsid w:val="0027388C"/>
    <w:rsid w:val="00273B58"/>
    <w:rsid w:val="00274A3F"/>
    <w:rsid w:val="0028067E"/>
    <w:rsid w:val="00282055"/>
    <w:rsid w:val="00287FB4"/>
    <w:rsid w:val="002A6FC7"/>
    <w:rsid w:val="002B5104"/>
    <w:rsid w:val="002C1037"/>
    <w:rsid w:val="002C29EC"/>
    <w:rsid w:val="002C3B8A"/>
    <w:rsid w:val="002C4FBE"/>
    <w:rsid w:val="002C55F4"/>
    <w:rsid w:val="002D0B05"/>
    <w:rsid w:val="002D39E6"/>
    <w:rsid w:val="002E0095"/>
    <w:rsid w:val="002E2126"/>
    <w:rsid w:val="002E31E9"/>
    <w:rsid w:val="002E58D6"/>
    <w:rsid w:val="002E5AA0"/>
    <w:rsid w:val="002E665C"/>
    <w:rsid w:val="002E7D5D"/>
    <w:rsid w:val="002F25BE"/>
    <w:rsid w:val="002F3BFC"/>
    <w:rsid w:val="002F613C"/>
    <w:rsid w:val="002F63D8"/>
    <w:rsid w:val="002F7590"/>
    <w:rsid w:val="002F7C29"/>
    <w:rsid w:val="00300044"/>
    <w:rsid w:val="00300F1C"/>
    <w:rsid w:val="00300FA0"/>
    <w:rsid w:val="003024B9"/>
    <w:rsid w:val="00313536"/>
    <w:rsid w:val="00316170"/>
    <w:rsid w:val="0032184F"/>
    <w:rsid w:val="00324B52"/>
    <w:rsid w:val="00324C83"/>
    <w:rsid w:val="00324E57"/>
    <w:rsid w:val="003278C1"/>
    <w:rsid w:val="00330878"/>
    <w:rsid w:val="0033391A"/>
    <w:rsid w:val="00340EF2"/>
    <w:rsid w:val="003511FA"/>
    <w:rsid w:val="003543A5"/>
    <w:rsid w:val="00355608"/>
    <w:rsid w:val="003603EC"/>
    <w:rsid w:val="00360CF2"/>
    <w:rsid w:val="00361F22"/>
    <w:rsid w:val="00364E81"/>
    <w:rsid w:val="00365DE2"/>
    <w:rsid w:val="0036609E"/>
    <w:rsid w:val="003737C1"/>
    <w:rsid w:val="00380757"/>
    <w:rsid w:val="00391750"/>
    <w:rsid w:val="00391F57"/>
    <w:rsid w:val="003927E5"/>
    <w:rsid w:val="00392AD1"/>
    <w:rsid w:val="003A0785"/>
    <w:rsid w:val="003A215B"/>
    <w:rsid w:val="003A4AA8"/>
    <w:rsid w:val="003B1FD8"/>
    <w:rsid w:val="003C0E32"/>
    <w:rsid w:val="003C5050"/>
    <w:rsid w:val="003C71CD"/>
    <w:rsid w:val="003D0BD4"/>
    <w:rsid w:val="003D1091"/>
    <w:rsid w:val="003D211F"/>
    <w:rsid w:val="003D2408"/>
    <w:rsid w:val="003D6D85"/>
    <w:rsid w:val="003E2D89"/>
    <w:rsid w:val="003E4D3E"/>
    <w:rsid w:val="003F1547"/>
    <w:rsid w:val="003F33F4"/>
    <w:rsid w:val="003F425F"/>
    <w:rsid w:val="003F5D89"/>
    <w:rsid w:val="004011FB"/>
    <w:rsid w:val="00401C5D"/>
    <w:rsid w:val="0040361D"/>
    <w:rsid w:val="004052AD"/>
    <w:rsid w:val="00406EB4"/>
    <w:rsid w:val="00412A34"/>
    <w:rsid w:val="004149B9"/>
    <w:rsid w:val="00414D4C"/>
    <w:rsid w:val="00423151"/>
    <w:rsid w:val="004233CC"/>
    <w:rsid w:val="00424588"/>
    <w:rsid w:val="0042510A"/>
    <w:rsid w:val="00426D0F"/>
    <w:rsid w:val="00426D31"/>
    <w:rsid w:val="00427245"/>
    <w:rsid w:val="0042758F"/>
    <w:rsid w:val="00435F2A"/>
    <w:rsid w:val="00444DCF"/>
    <w:rsid w:val="00445802"/>
    <w:rsid w:val="004459D9"/>
    <w:rsid w:val="004460CA"/>
    <w:rsid w:val="00456701"/>
    <w:rsid w:val="00456B7D"/>
    <w:rsid w:val="00463801"/>
    <w:rsid w:val="00464036"/>
    <w:rsid w:val="004656D4"/>
    <w:rsid w:val="00476361"/>
    <w:rsid w:val="004818B1"/>
    <w:rsid w:val="004850BA"/>
    <w:rsid w:val="00493E10"/>
    <w:rsid w:val="00496011"/>
    <w:rsid w:val="004A5C1C"/>
    <w:rsid w:val="004A7B82"/>
    <w:rsid w:val="004B4AE9"/>
    <w:rsid w:val="004B4F31"/>
    <w:rsid w:val="004B7240"/>
    <w:rsid w:val="004C107B"/>
    <w:rsid w:val="004C1460"/>
    <w:rsid w:val="004C5E86"/>
    <w:rsid w:val="004C645C"/>
    <w:rsid w:val="004C65A5"/>
    <w:rsid w:val="004D7050"/>
    <w:rsid w:val="004E1E9C"/>
    <w:rsid w:val="004E3BC5"/>
    <w:rsid w:val="004E40E4"/>
    <w:rsid w:val="004E48B6"/>
    <w:rsid w:val="004F0383"/>
    <w:rsid w:val="004F187C"/>
    <w:rsid w:val="004F1F03"/>
    <w:rsid w:val="004F6CD9"/>
    <w:rsid w:val="00507DFA"/>
    <w:rsid w:val="0051233B"/>
    <w:rsid w:val="005156B8"/>
    <w:rsid w:val="00525266"/>
    <w:rsid w:val="00527730"/>
    <w:rsid w:val="00527810"/>
    <w:rsid w:val="005341F4"/>
    <w:rsid w:val="0054117A"/>
    <w:rsid w:val="005425AB"/>
    <w:rsid w:val="00543112"/>
    <w:rsid w:val="00544717"/>
    <w:rsid w:val="005577AB"/>
    <w:rsid w:val="005603F4"/>
    <w:rsid w:val="00563567"/>
    <w:rsid w:val="00571D88"/>
    <w:rsid w:val="00573A2E"/>
    <w:rsid w:val="005757D8"/>
    <w:rsid w:val="00582D65"/>
    <w:rsid w:val="00592C59"/>
    <w:rsid w:val="00592C8D"/>
    <w:rsid w:val="00596E78"/>
    <w:rsid w:val="005A519C"/>
    <w:rsid w:val="005B1314"/>
    <w:rsid w:val="005B166B"/>
    <w:rsid w:val="005B5DFB"/>
    <w:rsid w:val="005B63DA"/>
    <w:rsid w:val="005B6FB2"/>
    <w:rsid w:val="005C26F1"/>
    <w:rsid w:val="005C27A1"/>
    <w:rsid w:val="005C3D56"/>
    <w:rsid w:val="005C4806"/>
    <w:rsid w:val="005C6D05"/>
    <w:rsid w:val="005C7C79"/>
    <w:rsid w:val="005C7DF6"/>
    <w:rsid w:val="005D0450"/>
    <w:rsid w:val="005D5BB9"/>
    <w:rsid w:val="005D5ECF"/>
    <w:rsid w:val="005D611A"/>
    <w:rsid w:val="005E638D"/>
    <w:rsid w:val="005E7616"/>
    <w:rsid w:val="005F74D5"/>
    <w:rsid w:val="0061078A"/>
    <w:rsid w:val="006124D4"/>
    <w:rsid w:val="0061333A"/>
    <w:rsid w:val="0061432E"/>
    <w:rsid w:val="00615F61"/>
    <w:rsid w:val="00627CD2"/>
    <w:rsid w:val="0064268C"/>
    <w:rsid w:val="006443DA"/>
    <w:rsid w:val="00646560"/>
    <w:rsid w:val="00647FDD"/>
    <w:rsid w:val="006516C3"/>
    <w:rsid w:val="00656393"/>
    <w:rsid w:val="00656CB2"/>
    <w:rsid w:val="0066421E"/>
    <w:rsid w:val="00667299"/>
    <w:rsid w:val="00667828"/>
    <w:rsid w:val="006704E3"/>
    <w:rsid w:val="00671E37"/>
    <w:rsid w:val="0067667D"/>
    <w:rsid w:val="00685B54"/>
    <w:rsid w:val="00687117"/>
    <w:rsid w:val="0069006D"/>
    <w:rsid w:val="006925EA"/>
    <w:rsid w:val="0069316B"/>
    <w:rsid w:val="006959B2"/>
    <w:rsid w:val="00696D12"/>
    <w:rsid w:val="00697E6D"/>
    <w:rsid w:val="006A4EDF"/>
    <w:rsid w:val="006A6601"/>
    <w:rsid w:val="006A7E7A"/>
    <w:rsid w:val="006A7EF2"/>
    <w:rsid w:val="006B0FCB"/>
    <w:rsid w:val="006B1A54"/>
    <w:rsid w:val="006B7C4D"/>
    <w:rsid w:val="006C1E8D"/>
    <w:rsid w:val="006C52A1"/>
    <w:rsid w:val="006D1061"/>
    <w:rsid w:val="006D1DFA"/>
    <w:rsid w:val="006D3549"/>
    <w:rsid w:val="006E25A6"/>
    <w:rsid w:val="006E2D93"/>
    <w:rsid w:val="006E2E70"/>
    <w:rsid w:val="006E4B92"/>
    <w:rsid w:val="006E4DAE"/>
    <w:rsid w:val="006E6117"/>
    <w:rsid w:val="006F0A36"/>
    <w:rsid w:val="006F30A1"/>
    <w:rsid w:val="006F5FA2"/>
    <w:rsid w:val="007003EC"/>
    <w:rsid w:val="00702EEE"/>
    <w:rsid w:val="00703802"/>
    <w:rsid w:val="00732587"/>
    <w:rsid w:val="00732E5E"/>
    <w:rsid w:val="00742804"/>
    <w:rsid w:val="00743C67"/>
    <w:rsid w:val="00743DDD"/>
    <w:rsid w:val="0074497D"/>
    <w:rsid w:val="00745F4C"/>
    <w:rsid w:val="00750634"/>
    <w:rsid w:val="007523B5"/>
    <w:rsid w:val="00754959"/>
    <w:rsid w:val="0075530A"/>
    <w:rsid w:val="00762886"/>
    <w:rsid w:val="007653EB"/>
    <w:rsid w:val="007654CC"/>
    <w:rsid w:val="007674B6"/>
    <w:rsid w:val="0076780B"/>
    <w:rsid w:val="007703C5"/>
    <w:rsid w:val="00773872"/>
    <w:rsid w:val="0077613B"/>
    <w:rsid w:val="00782539"/>
    <w:rsid w:val="00784FE6"/>
    <w:rsid w:val="00791539"/>
    <w:rsid w:val="0079498D"/>
    <w:rsid w:val="007A1411"/>
    <w:rsid w:val="007B2204"/>
    <w:rsid w:val="007B5652"/>
    <w:rsid w:val="007B6771"/>
    <w:rsid w:val="007C25D5"/>
    <w:rsid w:val="007C4D91"/>
    <w:rsid w:val="007C5B4B"/>
    <w:rsid w:val="007C6505"/>
    <w:rsid w:val="007C7F97"/>
    <w:rsid w:val="007D2E31"/>
    <w:rsid w:val="007D5192"/>
    <w:rsid w:val="007D7F6A"/>
    <w:rsid w:val="007F38DB"/>
    <w:rsid w:val="007F46E4"/>
    <w:rsid w:val="007F6494"/>
    <w:rsid w:val="008041FF"/>
    <w:rsid w:val="00805F72"/>
    <w:rsid w:val="00813DAF"/>
    <w:rsid w:val="00820919"/>
    <w:rsid w:val="00824E15"/>
    <w:rsid w:val="00826338"/>
    <w:rsid w:val="008267BB"/>
    <w:rsid w:val="008271F1"/>
    <w:rsid w:val="00832489"/>
    <w:rsid w:val="00834946"/>
    <w:rsid w:val="008429C5"/>
    <w:rsid w:val="008502AF"/>
    <w:rsid w:val="00854A42"/>
    <w:rsid w:val="008618DF"/>
    <w:rsid w:val="008621C9"/>
    <w:rsid w:val="00862C15"/>
    <w:rsid w:val="00863B84"/>
    <w:rsid w:val="00864F7D"/>
    <w:rsid w:val="00866A7A"/>
    <w:rsid w:val="00867427"/>
    <w:rsid w:val="008674B3"/>
    <w:rsid w:val="00870321"/>
    <w:rsid w:val="00883FBA"/>
    <w:rsid w:val="008870D6"/>
    <w:rsid w:val="008872FA"/>
    <w:rsid w:val="0089750B"/>
    <w:rsid w:val="008A00CB"/>
    <w:rsid w:val="008A3F6F"/>
    <w:rsid w:val="008A4930"/>
    <w:rsid w:val="008A6F44"/>
    <w:rsid w:val="008B2C0C"/>
    <w:rsid w:val="008B51C4"/>
    <w:rsid w:val="008B67DF"/>
    <w:rsid w:val="008B6CCA"/>
    <w:rsid w:val="008C1A7E"/>
    <w:rsid w:val="008C49CD"/>
    <w:rsid w:val="008C4B84"/>
    <w:rsid w:val="008C4F52"/>
    <w:rsid w:val="008C55D5"/>
    <w:rsid w:val="008C7A12"/>
    <w:rsid w:val="008D0B9B"/>
    <w:rsid w:val="008D3767"/>
    <w:rsid w:val="008D407B"/>
    <w:rsid w:val="008E11EC"/>
    <w:rsid w:val="008E45E0"/>
    <w:rsid w:val="008E45EA"/>
    <w:rsid w:val="008F0A92"/>
    <w:rsid w:val="008F52B0"/>
    <w:rsid w:val="00901247"/>
    <w:rsid w:val="0090137E"/>
    <w:rsid w:val="0090282F"/>
    <w:rsid w:val="0090460A"/>
    <w:rsid w:val="00910375"/>
    <w:rsid w:val="00911F6B"/>
    <w:rsid w:val="00912799"/>
    <w:rsid w:val="009175A7"/>
    <w:rsid w:val="00922FE0"/>
    <w:rsid w:val="009339DE"/>
    <w:rsid w:val="009342A1"/>
    <w:rsid w:val="00934403"/>
    <w:rsid w:val="0093593A"/>
    <w:rsid w:val="0094685D"/>
    <w:rsid w:val="00953DB1"/>
    <w:rsid w:val="009551A2"/>
    <w:rsid w:val="009566B7"/>
    <w:rsid w:val="009665C1"/>
    <w:rsid w:val="0097052A"/>
    <w:rsid w:val="00970E56"/>
    <w:rsid w:val="00971C5A"/>
    <w:rsid w:val="0097612F"/>
    <w:rsid w:val="009829EC"/>
    <w:rsid w:val="009848B3"/>
    <w:rsid w:val="00991EDC"/>
    <w:rsid w:val="009934C3"/>
    <w:rsid w:val="00994B70"/>
    <w:rsid w:val="009A39DE"/>
    <w:rsid w:val="009A49BF"/>
    <w:rsid w:val="009A7816"/>
    <w:rsid w:val="009B0BDE"/>
    <w:rsid w:val="009C7911"/>
    <w:rsid w:val="009D35AA"/>
    <w:rsid w:val="009E4DC1"/>
    <w:rsid w:val="009E762C"/>
    <w:rsid w:val="009F14CA"/>
    <w:rsid w:val="009F1CBD"/>
    <w:rsid w:val="009F2656"/>
    <w:rsid w:val="009F336B"/>
    <w:rsid w:val="009F381B"/>
    <w:rsid w:val="009F4298"/>
    <w:rsid w:val="009F71C0"/>
    <w:rsid w:val="00A0079E"/>
    <w:rsid w:val="00A058DD"/>
    <w:rsid w:val="00A07E60"/>
    <w:rsid w:val="00A1044D"/>
    <w:rsid w:val="00A159BA"/>
    <w:rsid w:val="00A17ED0"/>
    <w:rsid w:val="00A27627"/>
    <w:rsid w:val="00A32437"/>
    <w:rsid w:val="00A336F1"/>
    <w:rsid w:val="00A33980"/>
    <w:rsid w:val="00A40D08"/>
    <w:rsid w:val="00A41443"/>
    <w:rsid w:val="00A43AD8"/>
    <w:rsid w:val="00A45816"/>
    <w:rsid w:val="00A51FF4"/>
    <w:rsid w:val="00A57E9B"/>
    <w:rsid w:val="00A6073B"/>
    <w:rsid w:val="00A6095D"/>
    <w:rsid w:val="00A634C7"/>
    <w:rsid w:val="00A643D6"/>
    <w:rsid w:val="00A67675"/>
    <w:rsid w:val="00A70444"/>
    <w:rsid w:val="00A83E63"/>
    <w:rsid w:val="00A8443B"/>
    <w:rsid w:val="00A85B4A"/>
    <w:rsid w:val="00A94C69"/>
    <w:rsid w:val="00A978FC"/>
    <w:rsid w:val="00AA48AB"/>
    <w:rsid w:val="00AA63C5"/>
    <w:rsid w:val="00AA7585"/>
    <w:rsid w:val="00AB5421"/>
    <w:rsid w:val="00AB5BCC"/>
    <w:rsid w:val="00AB6F21"/>
    <w:rsid w:val="00AC59D2"/>
    <w:rsid w:val="00AC7DAA"/>
    <w:rsid w:val="00AD0329"/>
    <w:rsid w:val="00AD1E6C"/>
    <w:rsid w:val="00AD6552"/>
    <w:rsid w:val="00AE1542"/>
    <w:rsid w:val="00AE1A1B"/>
    <w:rsid w:val="00AE1CF3"/>
    <w:rsid w:val="00AE6816"/>
    <w:rsid w:val="00AF0293"/>
    <w:rsid w:val="00AF1144"/>
    <w:rsid w:val="00AF40FC"/>
    <w:rsid w:val="00AF610D"/>
    <w:rsid w:val="00AF6283"/>
    <w:rsid w:val="00B00880"/>
    <w:rsid w:val="00B0525E"/>
    <w:rsid w:val="00B05D67"/>
    <w:rsid w:val="00B11059"/>
    <w:rsid w:val="00B146B0"/>
    <w:rsid w:val="00B149AD"/>
    <w:rsid w:val="00B1576B"/>
    <w:rsid w:val="00B1693D"/>
    <w:rsid w:val="00B1769D"/>
    <w:rsid w:val="00B341E4"/>
    <w:rsid w:val="00B36816"/>
    <w:rsid w:val="00B36EFB"/>
    <w:rsid w:val="00B377F3"/>
    <w:rsid w:val="00B6268F"/>
    <w:rsid w:val="00B62E99"/>
    <w:rsid w:val="00B70E78"/>
    <w:rsid w:val="00B8074B"/>
    <w:rsid w:val="00B878D8"/>
    <w:rsid w:val="00B91325"/>
    <w:rsid w:val="00B938C7"/>
    <w:rsid w:val="00B952D6"/>
    <w:rsid w:val="00B97FB4"/>
    <w:rsid w:val="00BA05CD"/>
    <w:rsid w:val="00BA34AA"/>
    <w:rsid w:val="00BB1AFC"/>
    <w:rsid w:val="00BB53ED"/>
    <w:rsid w:val="00BC17E2"/>
    <w:rsid w:val="00BC1CD9"/>
    <w:rsid w:val="00BC2D4D"/>
    <w:rsid w:val="00BC3029"/>
    <w:rsid w:val="00BC6F97"/>
    <w:rsid w:val="00BD0AE3"/>
    <w:rsid w:val="00BD42F8"/>
    <w:rsid w:val="00BD5C1A"/>
    <w:rsid w:val="00BE2C18"/>
    <w:rsid w:val="00BE346E"/>
    <w:rsid w:val="00BF35DF"/>
    <w:rsid w:val="00BF463D"/>
    <w:rsid w:val="00BF46CA"/>
    <w:rsid w:val="00BF4959"/>
    <w:rsid w:val="00BF4B46"/>
    <w:rsid w:val="00C01CE7"/>
    <w:rsid w:val="00C0535B"/>
    <w:rsid w:val="00C05F57"/>
    <w:rsid w:val="00C06ED8"/>
    <w:rsid w:val="00C151F7"/>
    <w:rsid w:val="00C152E2"/>
    <w:rsid w:val="00C16E01"/>
    <w:rsid w:val="00C17698"/>
    <w:rsid w:val="00C17E3B"/>
    <w:rsid w:val="00C2655A"/>
    <w:rsid w:val="00C266AA"/>
    <w:rsid w:val="00C30A86"/>
    <w:rsid w:val="00C31326"/>
    <w:rsid w:val="00C36214"/>
    <w:rsid w:val="00C44A05"/>
    <w:rsid w:val="00C51F18"/>
    <w:rsid w:val="00C73FEB"/>
    <w:rsid w:val="00C776BA"/>
    <w:rsid w:val="00C813B5"/>
    <w:rsid w:val="00C8219B"/>
    <w:rsid w:val="00C82288"/>
    <w:rsid w:val="00C95A15"/>
    <w:rsid w:val="00CA099E"/>
    <w:rsid w:val="00CA1996"/>
    <w:rsid w:val="00CA340E"/>
    <w:rsid w:val="00CB44E7"/>
    <w:rsid w:val="00CB79EB"/>
    <w:rsid w:val="00CC0A18"/>
    <w:rsid w:val="00CC0BD0"/>
    <w:rsid w:val="00CC6F39"/>
    <w:rsid w:val="00CD182B"/>
    <w:rsid w:val="00CD5522"/>
    <w:rsid w:val="00CD5BD0"/>
    <w:rsid w:val="00CD735C"/>
    <w:rsid w:val="00CE7709"/>
    <w:rsid w:val="00CF477E"/>
    <w:rsid w:val="00D07F8E"/>
    <w:rsid w:val="00D1785A"/>
    <w:rsid w:val="00D32C2B"/>
    <w:rsid w:val="00D40591"/>
    <w:rsid w:val="00D4334E"/>
    <w:rsid w:val="00D43408"/>
    <w:rsid w:val="00D436DC"/>
    <w:rsid w:val="00D43DF0"/>
    <w:rsid w:val="00D455E3"/>
    <w:rsid w:val="00D460A2"/>
    <w:rsid w:val="00D51B46"/>
    <w:rsid w:val="00D55539"/>
    <w:rsid w:val="00D57417"/>
    <w:rsid w:val="00D660EC"/>
    <w:rsid w:val="00D67091"/>
    <w:rsid w:val="00D740A8"/>
    <w:rsid w:val="00D75016"/>
    <w:rsid w:val="00D76661"/>
    <w:rsid w:val="00D82051"/>
    <w:rsid w:val="00D84B5E"/>
    <w:rsid w:val="00D960B1"/>
    <w:rsid w:val="00D96412"/>
    <w:rsid w:val="00DA0EB6"/>
    <w:rsid w:val="00DA4A3C"/>
    <w:rsid w:val="00DA57AC"/>
    <w:rsid w:val="00DA6C5D"/>
    <w:rsid w:val="00DB0FEF"/>
    <w:rsid w:val="00DB54A3"/>
    <w:rsid w:val="00DB66BB"/>
    <w:rsid w:val="00DC2501"/>
    <w:rsid w:val="00DC76E3"/>
    <w:rsid w:val="00DD1780"/>
    <w:rsid w:val="00DD33D4"/>
    <w:rsid w:val="00DD56F6"/>
    <w:rsid w:val="00DD6BA7"/>
    <w:rsid w:val="00DE25CB"/>
    <w:rsid w:val="00DE5996"/>
    <w:rsid w:val="00DE73D5"/>
    <w:rsid w:val="00DE78F4"/>
    <w:rsid w:val="00DF08D6"/>
    <w:rsid w:val="00DF2E2C"/>
    <w:rsid w:val="00DF321D"/>
    <w:rsid w:val="00DF69A7"/>
    <w:rsid w:val="00E0123C"/>
    <w:rsid w:val="00E02597"/>
    <w:rsid w:val="00E04613"/>
    <w:rsid w:val="00E0496C"/>
    <w:rsid w:val="00E126DC"/>
    <w:rsid w:val="00E129B6"/>
    <w:rsid w:val="00E1590A"/>
    <w:rsid w:val="00E221D0"/>
    <w:rsid w:val="00E25EA6"/>
    <w:rsid w:val="00E328C0"/>
    <w:rsid w:val="00E408DB"/>
    <w:rsid w:val="00E43897"/>
    <w:rsid w:val="00E464DD"/>
    <w:rsid w:val="00E5131E"/>
    <w:rsid w:val="00E539DE"/>
    <w:rsid w:val="00E55C4C"/>
    <w:rsid w:val="00E55E24"/>
    <w:rsid w:val="00E56C30"/>
    <w:rsid w:val="00E5775C"/>
    <w:rsid w:val="00E672AC"/>
    <w:rsid w:val="00E72CBD"/>
    <w:rsid w:val="00E801B7"/>
    <w:rsid w:val="00E814F1"/>
    <w:rsid w:val="00E845CA"/>
    <w:rsid w:val="00E84E0F"/>
    <w:rsid w:val="00E862C1"/>
    <w:rsid w:val="00E87AC6"/>
    <w:rsid w:val="00E90F66"/>
    <w:rsid w:val="00EA33C4"/>
    <w:rsid w:val="00EA4DA0"/>
    <w:rsid w:val="00EA602F"/>
    <w:rsid w:val="00EB074A"/>
    <w:rsid w:val="00EB5722"/>
    <w:rsid w:val="00EC026F"/>
    <w:rsid w:val="00EC0396"/>
    <w:rsid w:val="00EC097B"/>
    <w:rsid w:val="00EC3D68"/>
    <w:rsid w:val="00EC5F86"/>
    <w:rsid w:val="00ED29FB"/>
    <w:rsid w:val="00EE092B"/>
    <w:rsid w:val="00EE2279"/>
    <w:rsid w:val="00EE23E9"/>
    <w:rsid w:val="00EE25B4"/>
    <w:rsid w:val="00EF1512"/>
    <w:rsid w:val="00EF4193"/>
    <w:rsid w:val="00EF5495"/>
    <w:rsid w:val="00EF558C"/>
    <w:rsid w:val="00F023B9"/>
    <w:rsid w:val="00F04337"/>
    <w:rsid w:val="00F117E0"/>
    <w:rsid w:val="00F125FA"/>
    <w:rsid w:val="00F20CE3"/>
    <w:rsid w:val="00F22404"/>
    <w:rsid w:val="00F25C9C"/>
    <w:rsid w:val="00F333F5"/>
    <w:rsid w:val="00F34868"/>
    <w:rsid w:val="00F4166B"/>
    <w:rsid w:val="00F432E1"/>
    <w:rsid w:val="00F44AC4"/>
    <w:rsid w:val="00F46313"/>
    <w:rsid w:val="00F515D3"/>
    <w:rsid w:val="00F526DA"/>
    <w:rsid w:val="00F561A5"/>
    <w:rsid w:val="00F5736F"/>
    <w:rsid w:val="00F630A4"/>
    <w:rsid w:val="00F6461A"/>
    <w:rsid w:val="00F6669A"/>
    <w:rsid w:val="00F679C1"/>
    <w:rsid w:val="00F74794"/>
    <w:rsid w:val="00F75129"/>
    <w:rsid w:val="00F822D6"/>
    <w:rsid w:val="00F839A5"/>
    <w:rsid w:val="00F84EFB"/>
    <w:rsid w:val="00F85CE7"/>
    <w:rsid w:val="00F93C82"/>
    <w:rsid w:val="00F96610"/>
    <w:rsid w:val="00FA335C"/>
    <w:rsid w:val="00FA33B7"/>
    <w:rsid w:val="00FA346C"/>
    <w:rsid w:val="00FB34E3"/>
    <w:rsid w:val="00FB4EA4"/>
    <w:rsid w:val="00FB56DB"/>
    <w:rsid w:val="00FB6BD3"/>
    <w:rsid w:val="00FB7DAD"/>
    <w:rsid w:val="00FD28BA"/>
    <w:rsid w:val="00FD30D2"/>
    <w:rsid w:val="00FD3E45"/>
    <w:rsid w:val="00FE41E3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88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TOAHeading">
    <w:name w:val="toa heading"/>
    <w:basedOn w:val="Normal"/>
    <w:next w:val="Normal"/>
    <w:semiHidden/>
    <w:rsid w:val="000B3EAA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lang w:eastAsia="en-US"/>
    </w:rPr>
  </w:style>
  <w:style w:type="character" w:styleId="Hyperlink">
    <w:name w:val="Hyperlink"/>
    <w:basedOn w:val="DefaultParagraphFont"/>
    <w:rsid w:val="008B2C0C"/>
    <w:rPr>
      <w:color w:val="0000FF"/>
      <w:u w:val="single"/>
    </w:rPr>
  </w:style>
  <w:style w:type="character" w:customStyle="1" w:styleId="msoins0">
    <w:name w:val="msoins0"/>
    <w:basedOn w:val="DefaultParagraphFont"/>
    <w:rsid w:val="001679E7"/>
  </w:style>
  <w:style w:type="character" w:styleId="Emphasis">
    <w:name w:val="Emphasis"/>
    <w:basedOn w:val="DefaultParagraphFont"/>
    <w:uiPriority w:val="20"/>
    <w:qFormat/>
    <w:rsid w:val="001679E7"/>
    <w:rPr>
      <w:i/>
      <w:iCs/>
    </w:rPr>
  </w:style>
  <w:style w:type="paragraph" w:styleId="NormalWeb">
    <w:name w:val="Normal (Web)"/>
    <w:basedOn w:val="Normal"/>
    <w:rsid w:val="00E0123C"/>
    <w:pPr>
      <w:spacing w:before="100" w:beforeAutospacing="1" w:after="100" w:afterAutospacing="1"/>
    </w:pPr>
    <w:rPr>
      <w:color w:val="auto"/>
      <w:szCs w:val="24"/>
      <w:lang w:val="en-US" w:eastAsia="en-US"/>
    </w:rPr>
  </w:style>
  <w:style w:type="character" w:styleId="Strong">
    <w:name w:val="Strong"/>
    <w:basedOn w:val="DefaultParagraphFont"/>
    <w:qFormat/>
    <w:rsid w:val="008870D6"/>
    <w:rPr>
      <w:b/>
      <w:bCs/>
    </w:rPr>
  </w:style>
  <w:style w:type="character" w:styleId="FollowedHyperlink">
    <w:name w:val="FollowedHyperlink"/>
    <w:basedOn w:val="DefaultParagraphFont"/>
    <w:rsid w:val="00773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83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Govt%20sub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issues-paper%5b1%5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BINET%20SERVICES\TEMPLATES%20(cabinet)\Final%20Approved%20DERM%20Templates\Submission%20Templates%20&amp;%20Matters%20to%20Note%20Template\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Policy.dot</Template>
  <TotalTime>0</TotalTime>
  <Pages>1</Pages>
  <Words>310</Words>
  <Characters>1882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Base>https://www.cabinet.qld.gov.au/documents/2011/Aug/Climate Change Adaptation for Qld/</HyperlinkBase>
  <HLinks>
    <vt:vector size="12" baseType="variant"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Attachments/Qld Govt sub.pdf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Attachments/issues-paper%5b1%5d.pdf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2011-10-27T04:31:00Z</cp:lastPrinted>
  <dcterms:created xsi:type="dcterms:W3CDTF">2017-10-24T23:04:00Z</dcterms:created>
  <dcterms:modified xsi:type="dcterms:W3CDTF">2018-03-06T01:07:00Z</dcterms:modified>
  <cp:category>Climate_Change</cp:category>
</cp:coreProperties>
</file>